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4E0BC8" w:rsidRDefault="00506F1C" w:rsidP="005F6058">
            <w:pPr>
              <w:spacing w:after="0" w:line="240" w:lineRule="auto"/>
              <w:rPr>
                <w:rFonts w:asciiTheme="majorHAnsi" w:hAnsiTheme="majorHAnsi" w:cs="Arial"/>
                <w:b/>
                <w:bCs/>
                <w:caps/>
              </w:rPr>
            </w:pPr>
            <w:r>
              <w:rPr>
                <w:rFonts w:asciiTheme="majorHAnsi" w:hAnsiTheme="majorHAnsi" w:cs="Arial"/>
                <w:b/>
              </w:rPr>
              <w:t>Z</w:t>
            </w:r>
            <w:r w:rsidR="005F6058">
              <w:rPr>
                <w:rFonts w:asciiTheme="majorHAnsi" w:hAnsiTheme="majorHAnsi" w:cs="Arial"/>
                <w:b/>
              </w:rPr>
              <w:t>aměření prostorové polohy kolejí</w:t>
            </w:r>
            <w:r w:rsidR="008257C6">
              <w:rPr>
                <w:rFonts w:asciiTheme="majorHAnsi" w:hAnsiTheme="majorHAnsi" w:cs="Arial"/>
                <w:b/>
              </w:rPr>
              <w:t xml:space="preserve"> </w:t>
            </w:r>
            <w:r w:rsidRPr="00506F1C">
              <w:rPr>
                <w:rFonts w:asciiTheme="majorHAnsi" w:hAnsiTheme="majorHAnsi" w:cs="Arial"/>
                <w:b/>
              </w:rPr>
              <w:t xml:space="preserve">na TÚ </w:t>
            </w:r>
            <w:r w:rsidR="005F6058">
              <w:rPr>
                <w:rFonts w:asciiTheme="majorHAnsi" w:hAnsiTheme="majorHAnsi" w:cs="Arial"/>
                <w:b/>
              </w:rPr>
              <w:t>189</w:t>
            </w:r>
            <w:r w:rsidR="001878DB">
              <w:rPr>
                <w:rFonts w:asciiTheme="majorHAnsi" w:hAnsiTheme="majorHAnsi" w:cs="Arial"/>
                <w:b/>
              </w:rPr>
              <w:t>1</w:t>
            </w:r>
            <w:r w:rsidRPr="00506F1C">
              <w:rPr>
                <w:rFonts w:asciiTheme="majorHAnsi" w:hAnsiTheme="majorHAnsi" w:cs="Arial"/>
                <w:b/>
              </w:rPr>
              <w:t>,</w:t>
            </w:r>
            <w:r w:rsidR="005F6058">
              <w:rPr>
                <w:rFonts w:asciiTheme="majorHAnsi" w:hAnsiTheme="majorHAnsi" w:cs="Arial"/>
                <w:b/>
              </w:rPr>
              <w:t xml:space="preserve"> </w:t>
            </w:r>
            <w:r w:rsidR="00D33C54">
              <w:rPr>
                <w:rFonts w:asciiTheme="majorHAnsi" w:hAnsiTheme="majorHAnsi" w:cs="Arial"/>
                <w:b/>
              </w:rPr>
              <w:t xml:space="preserve">žst. </w:t>
            </w:r>
            <w:r w:rsidR="005F6058">
              <w:rPr>
                <w:rFonts w:asciiTheme="majorHAnsi" w:hAnsiTheme="majorHAnsi" w:cs="Arial"/>
                <w:b/>
              </w:rPr>
              <w:t>Přerov přednádraží</w:t>
            </w: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lang w:eastAsia="cs-CZ"/>
              </w:rPr>
              <w:t xml:space="preserve">Geodetické zaměření na trati </w:t>
            </w:r>
            <w:r w:rsidR="00CE3013" w:rsidRPr="00FC5C30">
              <w:rPr>
                <w:rFonts w:asciiTheme="majorHAnsi" w:eastAsia="Times New Roman" w:hAnsiTheme="majorHAnsi" w:cs="Arial"/>
                <w:b/>
                <w:lang w:eastAsia="cs-CZ"/>
              </w:rPr>
              <w:t xml:space="preserve">TÚ </w:t>
            </w:r>
            <w:r w:rsidR="005F6058">
              <w:rPr>
                <w:rFonts w:asciiTheme="majorHAnsi" w:eastAsia="Times New Roman" w:hAnsiTheme="majorHAnsi" w:cs="Arial"/>
                <w:b/>
                <w:lang w:eastAsia="cs-CZ"/>
              </w:rPr>
              <w:t xml:space="preserve">1891, </w:t>
            </w:r>
            <w:r w:rsidR="005F6058">
              <w:rPr>
                <w:rFonts w:asciiTheme="majorHAnsi" w:hAnsiTheme="majorHAnsi" w:cs="Arial"/>
                <w:b/>
              </w:rPr>
              <w:t>žst. Přerov přednádraží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t>.</w:t>
            </w:r>
          </w:p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FC5C30" w:rsidRDefault="001275A3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lang w:eastAsia="cs-CZ"/>
              </w:rPr>
              <w:t>Zaměř</w:t>
            </w:r>
            <w:r w:rsidR="005F6058">
              <w:rPr>
                <w:rFonts w:asciiTheme="majorHAnsi" w:eastAsia="Times New Roman" w:hAnsiTheme="majorHAnsi" w:cs="Arial"/>
                <w:lang w:eastAsia="cs-CZ"/>
              </w:rPr>
              <w:t>ení prostorové polohy koleje na TÚ 1891,</w:t>
            </w:r>
            <w:r w:rsidR="005F6058">
              <w:t xml:space="preserve"> </w:t>
            </w:r>
            <w:r w:rsidR="005F6058" w:rsidRPr="005F6058">
              <w:rPr>
                <w:rFonts w:asciiTheme="majorHAnsi" w:eastAsia="Times New Roman" w:hAnsiTheme="majorHAnsi" w:cs="Arial"/>
                <w:lang w:eastAsia="cs-CZ"/>
              </w:rPr>
              <w:t>žst. Přerov přednádraží</w:t>
            </w:r>
          </w:p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BC40E1" w:rsidRPr="00FC5C30" w:rsidRDefault="001275A3" w:rsidP="002A23DE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lang w:eastAsia="cs-CZ"/>
              </w:rPr>
              <w:t>Správa železnic, státní organizace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br/>
              <w:t>Správa železniční geodézie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br/>
              <w:t>Regionální pracoviště Olomouc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br/>
              <w:t>Nerudova 1, 779 00 Olomouc</w:t>
            </w:r>
          </w:p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Pr="00D33C54" w:rsidRDefault="00AF1BBE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highlight w:val="yellow"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Číslo zakázky:</w:t>
            </w:r>
            <w:r w:rsidR="0049013C">
              <w:t xml:space="preserve"> </w:t>
            </w:r>
            <w:r w:rsidR="005F6058" w:rsidRPr="005F6058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G720Z7200025</w:t>
            </w: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FC5C30">
              <w:rPr>
                <w:rFonts w:asciiTheme="majorHAnsi" w:eastAsia="Times New Roman" w:hAnsiTheme="majorHAnsi" w:cs="Arial"/>
                <w:lang w:eastAsia="cs-CZ"/>
              </w:rPr>
              <w:t>Správa železnic, státní organizace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br/>
              <w:t>Správa železniční geodézie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B34F0B" w:rsidRPr="00FC5C30">
              <w:rPr>
                <w:rFonts w:asciiTheme="majorHAnsi" w:eastAsia="Times New Roman" w:hAnsiTheme="majorHAnsi" w:cs="Arial"/>
                <w:lang w:eastAsia="cs-CZ"/>
              </w:rPr>
              <w:t>Regionální p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t xml:space="preserve">racoviště </w:t>
            </w:r>
            <w:r w:rsidR="004B7325" w:rsidRPr="00FC5C30">
              <w:rPr>
                <w:rFonts w:asciiTheme="majorHAnsi" w:eastAsia="Times New Roman" w:hAnsiTheme="majorHAnsi" w:cs="Arial"/>
                <w:lang w:eastAsia="cs-CZ"/>
              </w:rPr>
              <w:t>Olomouc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4B7325" w:rsidRPr="00FC5C30">
              <w:rPr>
                <w:rFonts w:asciiTheme="majorHAnsi" w:eastAsia="Times New Roman" w:hAnsiTheme="majorHAnsi" w:cs="Arial"/>
                <w:lang w:eastAsia="cs-CZ"/>
              </w:rPr>
              <w:t>Nerudova 1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r w:rsidR="004B7325" w:rsidRPr="00FC5C30">
              <w:rPr>
                <w:rFonts w:asciiTheme="majorHAnsi" w:eastAsia="Times New Roman" w:hAnsiTheme="majorHAnsi" w:cs="Arial"/>
                <w:lang w:eastAsia="cs-CZ"/>
              </w:rPr>
              <w:t xml:space="preserve">779 </w:t>
            </w:r>
            <w:r w:rsidRPr="00FC5C30">
              <w:rPr>
                <w:rFonts w:asciiTheme="majorHAnsi" w:eastAsia="Times New Roman" w:hAnsiTheme="majorHAnsi" w:cs="Arial"/>
                <w:lang w:eastAsia="cs-CZ"/>
              </w:rPr>
              <w:t xml:space="preserve">00 </w:t>
            </w:r>
            <w:r w:rsidR="004B7325" w:rsidRPr="00FC5C30">
              <w:rPr>
                <w:rFonts w:asciiTheme="majorHAnsi" w:eastAsia="Times New Roman" w:hAnsiTheme="majorHAnsi" w:cs="Arial"/>
                <w:lang w:eastAsia="cs-CZ"/>
              </w:rPr>
              <w:t>Olomouc</w:t>
            </w:r>
          </w:p>
          <w:p w:rsidR="004E0BC8" w:rsidRPr="00FC5C30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E8440A" w:rsidRDefault="004E0BC8" w:rsidP="00983613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lang w:eastAsia="cs-CZ"/>
              </w:rPr>
              <w:t xml:space="preserve">ČSN </w:t>
            </w:r>
            <w:r w:rsidR="00983613" w:rsidRPr="00E8440A">
              <w:rPr>
                <w:rFonts w:asciiTheme="majorHAnsi" w:eastAsia="Times New Roman" w:hAnsiTheme="majorHAnsi" w:cs="Arial"/>
                <w:lang w:eastAsia="cs-CZ"/>
              </w:rPr>
              <w:t>73 6360-2</w:t>
            </w:r>
            <w:r w:rsidRPr="00E8440A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8E0804" w:rsidRPr="00E8440A">
              <w:t xml:space="preserve"> </w:t>
            </w:r>
            <w:r w:rsidR="008E0804" w:rsidRPr="00E8440A">
              <w:rPr>
                <w:rFonts w:asciiTheme="majorHAnsi" w:eastAsia="Times New Roman" w:hAnsiTheme="majorHAnsi" w:cs="Arial"/>
                <w:lang w:eastAsia="cs-CZ"/>
              </w:rPr>
              <w:t>ČSN 73 4959,</w:t>
            </w:r>
            <w:r w:rsidRPr="00E8440A">
              <w:rPr>
                <w:rFonts w:asciiTheme="majorHAnsi" w:eastAsia="Times New Roman" w:hAnsiTheme="majorHAnsi" w:cs="Arial"/>
                <w:lang w:eastAsia="cs-CZ"/>
              </w:rPr>
              <w:t xml:space="preserve"> Zákon č. 200/1994 Sb., Vyhl. ČÚZK č.31/1995 Sb., </w:t>
            </w:r>
            <w:r w:rsidR="00983613" w:rsidRPr="00E8440A">
              <w:rPr>
                <w:rFonts w:asciiTheme="majorHAnsi" w:eastAsia="Times New Roman" w:hAnsiTheme="majorHAnsi" w:cs="Arial"/>
                <w:lang w:eastAsia="cs-CZ"/>
              </w:rPr>
              <w:t>TKP staveb státních drah, SŽDC M20/MP004</w:t>
            </w:r>
          </w:p>
          <w:p w:rsidR="00983613" w:rsidRPr="00E8440A" w:rsidRDefault="00983613" w:rsidP="00983613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7457F2" w:rsidRPr="00E8440A" w:rsidRDefault="008257C6" w:rsidP="00AA262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lang w:eastAsia="cs-CZ"/>
              </w:rPr>
              <w:t>ŽBP</w:t>
            </w:r>
            <w:r w:rsidR="006B5A14">
              <w:rPr>
                <w:rFonts w:asciiTheme="majorHAnsi" w:eastAsia="Times New Roman" w:hAnsiTheme="majorHAnsi" w:cs="Arial"/>
                <w:lang w:eastAsia="cs-CZ"/>
              </w:rPr>
              <w:t xml:space="preserve"> a ZZ</w:t>
            </w:r>
            <w:r w:rsidRPr="00E8440A">
              <w:rPr>
                <w:rFonts w:asciiTheme="majorHAnsi" w:eastAsia="Times New Roman" w:hAnsiTheme="majorHAnsi" w:cs="Arial"/>
                <w:lang w:eastAsia="cs-CZ"/>
              </w:rPr>
              <w:t xml:space="preserve"> na TÚ</w:t>
            </w:r>
            <w:r w:rsidR="005F6058">
              <w:rPr>
                <w:rFonts w:asciiTheme="majorHAnsi" w:eastAsia="Times New Roman" w:hAnsiTheme="majorHAnsi" w:cs="Arial"/>
                <w:lang w:eastAsia="cs-CZ"/>
              </w:rPr>
              <w:t>1891, žst. Přerov</w:t>
            </w:r>
            <w:r w:rsidR="007457F2" w:rsidRPr="00E8440A">
              <w:rPr>
                <w:rFonts w:asciiTheme="majorHAnsi" w:eastAsia="Times New Roman" w:hAnsiTheme="majorHAnsi" w:cs="Arial"/>
                <w:lang w:eastAsia="cs-CZ"/>
              </w:rPr>
              <w:t>[A 1.2]</w:t>
            </w:r>
          </w:p>
          <w:p w:rsidR="007457F2" w:rsidRPr="00E8440A" w:rsidRDefault="007457F2" w:rsidP="00AA262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lang w:eastAsia="cs-CZ"/>
              </w:rPr>
              <w:t>Bpv</w:t>
            </w:r>
          </w:p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E8440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077A4" w:rsidRPr="00E8440A" w:rsidRDefault="006B5A14" w:rsidP="00B077A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ŽBP a ZZ</w:t>
            </w:r>
            <w:r w:rsidR="00D12641" w:rsidRPr="00E8440A">
              <w:rPr>
                <w:rFonts w:asciiTheme="majorHAnsi" w:eastAsia="Times New Roman" w:hAnsiTheme="majorHAnsi" w:cs="Arial"/>
                <w:lang w:eastAsia="cs-CZ"/>
              </w:rPr>
              <w:t xml:space="preserve"> na </w:t>
            </w:r>
            <w:r w:rsidR="005F6058">
              <w:rPr>
                <w:rFonts w:asciiTheme="majorHAnsi" w:eastAsia="Times New Roman" w:hAnsiTheme="majorHAnsi" w:cs="Arial"/>
                <w:lang w:eastAsia="cs-CZ"/>
              </w:rPr>
              <w:t>189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1, </w:t>
            </w:r>
            <w:r w:rsidR="005F6058" w:rsidRPr="005F6058">
              <w:rPr>
                <w:rFonts w:asciiTheme="majorHAnsi" w:eastAsia="Times New Roman" w:hAnsiTheme="majorHAnsi" w:cs="Arial"/>
                <w:lang w:eastAsia="cs-CZ"/>
              </w:rPr>
              <w:t xml:space="preserve">žst. Přerov přednádraží </w:t>
            </w:r>
            <w:r w:rsidR="00D12641" w:rsidRPr="00E8440A">
              <w:rPr>
                <w:rFonts w:asciiTheme="majorHAnsi" w:eastAsia="Times New Roman" w:hAnsiTheme="majorHAnsi" w:cs="Arial"/>
                <w:lang w:eastAsia="cs-CZ"/>
              </w:rPr>
              <w:t>[A 1.2]. Poloha a výška referenčního rámce byla ověřena při výpočtu volných stanovisek</w:t>
            </w:r>
            <w:r w:rsidR="00754E1D" w:rsidRPr="00E8440A">
              <w:rPr>
                <w:rFonts w:asciiTheme="majorHAnsi" w:eastAsia="Times New Roman" w:hAnsiTheme="majorHAnsi" w:cs="Arial"/>
                <w:lang w:eastAsia="cs-CZ"/>
              </w:rPr>
              <w:t>.</w:t>
            </w:r>
          </w:p>
          <w:p w:rsidR="004E0BC8" w:rsidRPr="00E8440A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33C54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highlight w:val="yellow"/>
                <w:lang w:eastAsia="cs-CZ"/>
              </w:rPr>
            </w:pPr>
            <w:r w:rsidRPr="00D33C54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33C54" w:rsidRDefault="008B7B3F" w:rsidP="00903583">
            <w:pPr>
              <w:rPr>
                <w:rFonts w:asciiTheme="majorHAnsi" w:hAnsiTheme="majorHAnsi" w:cs="Arial"/>
                <w:highlight w:val="yellow"/>
              </w:rPr>
            </w:pPr>
            <w:r>
              <w:rPr>
                <w:rFonts w:asciiTheme="majorHAnsi" w:hAnsiTheme="majorHAnsi" w:cs="Arial"/>
              </w:rPr>
              <w:t>4-7/</w:t>
            </w:r>
            <w:r w:rsidR="00D33C54" w:rsidRPr="00D33C54">
              <w:rPr>
                <w:rFonts w:asciiTheme="majorHAnsi" w:hAnsiTheme="majorHAnsi" w:cs="Arial"/>
              </w:rPr>
              <w:t>2020</w:t>
            </w: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49013C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  <w:p w:rsidR="001F43D2" w:rsidRPr="0049013C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9013C" w:rsidRDefault="00AA2624" w:rsidP="00E81FA8">
            <w:pPr>
              <w:spacing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lang w:eastAsia="cs-CZ"/>
              </w:rPr>
              <w:t>Topcon PS-101A v.č. AE0342 a měřící vozík GG-05</w:t>
            </w: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49013C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9013C" w:rsidRDefault="007457F2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lang w:eastAsia="cs-CZ"/>
              </w:rPr>
              <w:t>Rail 17.03.2.</w:t>
            </w:r>
          </w:p>
          <w:p w:rsidR="004E0BC8" w:rsidRPr="0049013C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49013C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Měření provedli: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9013C" w:rsidRDefault="006B5A14" w:rsidP="00754E1D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Maršálek Petr</w:t>
            </w:r>
            <w:r w:rsidR="008B7B3F">
              <w:rPr>
                <w:rFonts w:asciiTheme="majorHAnsi" w:eastAsia="Times New Roman" w:hAnsiTheme="majorHAnsi" w:cs="Arial"/>
                <w:lang w:eastAsia="cs-CZ"/>
              </w:rPr>
              <w:t>, Mgr. Blaťák</w:t>
            </w:r>
          </w:p>
          <w:p w:rsidR="00707052" w:rsidRPr="0049013C" w:rsidRDefault="00707052" w:rsidP="00754E1D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49013C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Výpočetní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9013C" w:rsidRDefault="00204D17" w:rsidP="008B7B3F">
            <w:pPr>
              <w:spacing w:after="0" w:line="276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lang w:eastAsia="cs-CZ"/>
              </w:rPr>
              <w:t>Ing. Malý</w:t>
            </w:r>
            <w:r w:rsidR="00903583" w:rsidRPr="0049013C">
              <w:rPr>
                <w:rFonts w:asciiTheme="majorHAnsi" w:eastAsia="Times New Roman" w:hAnsiTheme="majorHAnsi" w:cs="Arial"/>
                <w:lang w:eastAsia="cs-CZ"/>
              </w:rPr>
              <w:t>;</w:t>
            </w:r>
            <w:r w:rsidR="001D0BE5" w:rsidRPr="0049013C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8B7B3F">
              <w:rPr>
                <w:rFonts w:asciiTheme="majorHAnsi" w:hAnsiTheme="majorHAnsi" w:cs="Arial"/>
              </w:rPr>
              <w:t>5-7</w:t>
            </w:r>
            <w:r w:rsidR="00F7523B" w:rsidRPr="0049013C">
              <w:rPr>
                <w:rFonts w:asciiTheme="majorHAnsi" w:eastAsia="Times New Roman" w:hAnsiTheme="majorHAnsi" w:cs="Arial"/>
                <w:lang w:eastAsia="cs-CZ"/>
              </w:rPr>
              <w:t>/2020</w:t>
            </w: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91A1D" w:rsidRPr="0049013C" w:rsidRDefault="004E0BC8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  <w:p w:rsidR="00A91A1D" w:rsidRPr="0049013C" w:rsidRDefault="00A91A1D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91A1D" w:rsidRPr="0049013C" w:rsidRDefault="00A91A1D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91A1D" w:rsidRPr="0049013C" w:rsidRDefault="00A91A1D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C7663D" w:rsidRPr="0049013C" w:rsidRDefault="00C7663D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271C2D" w:rsidRPr="0049013C" w:rsidRDefault="00271C2D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457F2" w:rsidRPr="0049013C" w:rsidRDefault="007457F2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9C0C18" w:rsidRPr="0049013C" w:rsidRDefault="009C0C18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97F4C" w:rsidRDefault="00A97F4C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97F4C" w:rsidRDefault="00A97F4C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5711DF" w:rsidRPr="0049013C" w:rsidRDefault="00C7663D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A</w:t>
            </w:r>
            <w:r w:rsidR="005711DF"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resářová struktura:</w:t>
            </w:r>
          </w:p>
          <w:p w:rsidR="005711DF" w:rsidRPr="0049013C" w:rsidRDefault="005711DF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7457F2" w:rsidRPr="0049013C" w:rsidRDefault="007457F2" w:rsidP="00C7663D">
            <w:pPr>
              <w:jc w:val="both"/>
              <w:rPr>
                <w:rFonts w:ascii="Calibri" w:hAnsi="Calibri" w:cs="Courier New"/>
                <w:sz w:val="22"/>
                <w:szCs w:val="22"/>
              </w:rPr>
            </w:pPr>
            <w:r w:rsidRPr="0049013C">
              <w:rPr>
                <w:rFonts w:ascii="Calibri" w:hAnsi="Calibri" w:cs="Arial"/>
                <w:sz w:val="22"/>
                <w:szCs w:val="22"/>
              </w:rPr>
              <w:t xml:space="preserve">Samotné měření proběhlo </w:t>
            </w:r>
            <w:r w:rsidR="00CD4FEE" w:rsidRPr="0049013C">
              <w:rPr>
                <w:rFonts w:ascii="Calibri" w:hAnsi="Calibri" w:cs="Arial"/>
                <w:sz w:val="22"/>
                <w:szCs w:val="22"/>
              </w:rPr>
              <w:t xml:space="preserve">v období </w:t>
            </w:r>
            <w:r w:rsidR="008B7B3F">
              <w:rPr>
                <w:rFonts w:ascii="Calibri" w:hAnsi="Calibri" w:cs="Arial"/>
                <w:sz w:val="22"/>
                <w:szCs w:val="22"/>
              </w:rPr>
              <w:t xml:space="preserve">duben-červenec </w:t>
            </w:r>
            <w:r w:rsidR="00CD4FEE" w:rsidRPr="0049013C">
              <w:rPr>
                <w:rFonts w:ascii="Calibri" w:hAnsi="Calibri" w:cs="Arial"/>
                <w:sz w:val="22"/>
                <w:szCs w:val="22"/>
              </w:rPr>
              <w:t>2020</w:t>
            </w:r>
            <w:r w:rsidRPr="0049013C">
              <w:rPr>
                <w:rFonts w:ascii="Calibri" w:hAnsi="Calibri" w:cs="Arial"/>
                <w:sz w:val="22"/>
                <w:szCs w:val="22"/>
              </w:rPr>
              <w:t xml:space="preserve">. </w:t>
            </w:r>
            <w:r w:rsidRPr="0049013C">
              <w:rPr>
                <w:rFonts w:ascii="Calibri" w:hAnsi="Calibri" w:cs="Courier New"/>
                <w:sz w:val="22"/>
                <w:szCs w:val="22"/>
              </w:rPr>
              <w:t xml:space="preserve">Pro měření byl použit elektronický tachymetr Topcon Topcon PS-101A v.č. AE0342 </w:t>
            </w:r>
            <w:r w:rsidRPr="0049013C">
              <w:rPr>
                <w:rFonts w:ascii="Calibri" w:hAnsi="Calibri" w:cs="Courier New"/>
                <w:i/>
                <w:sz w:val="22"/>
                <w:szCs w:val="22"/>
                <w:lang w:val="en-US"/>
              </w:rPr>
              <w:t>[</w:t>
            </w:r>
            <w:r w:rsidRPr="0049013C">
              <w:rPr>
                <w:rFonts w:ascii="Calibri" w:hAnsi="Calibri" w:cs="Courier New"/>
                <w:i/>
                <w:sz w:val="22"/>
                <w:szCs w:val="22"/>
              </w:rPr>
              <w:t>A 2.1].</w:t>
            </w:r>
            <w:r w:rsidRPr="0049013C">
              <w:rPr>
                <w:rFonts w:ascii="Calibri" w:hAnsi="Calibri" w:cs="Courier New"/>
                <w:sz w:val="22"/>
                <w:szCs w:val="22"/>
              </w:rPr>
              <w:t xml:space="preserve"> Byla z</w:t>
            </w:r>
            <w:bookmarkStart w:id="0" w:name="_GoBack"/>
            <w:bookmarkEnd w:id="0"/>
            <w:r w:rsidRPr="0049013C">
              <w:rPr>
                <w:rFonts w:ascii="Calibri" w:hAnsi="Calibri" w:cs="Courier New"/>
                <w:sz w:val="22"/>
                <w:szCs w:val="22"/>
              </w:rPr>
              <w:t>volena technologie APK 3 (</w:t>
            </w:r>
            <w:r w:rsidRPr="0049013C">
              <w:rPr>
                <w:rFonts w:ascii="Calibri" w:hAnsi="Calibri"/>
                <w:sz w:val="22"/>
                <w:szCs w:val="22"/>
              </w:rPr>
              <w:t xml:space="preserve">kontinuální způsob měření </w:t>
            </w:r>
            <w:r w:rsidRPr="0049013C">
              <w:rPr>
                <w:rFonts w:ascii="Calibri" w:hAnsi="Calibri"/>
                <w:b/>
                <w:sz w:val="22"/>
                <w:szCs w:val="22"/>
              </w:rPr>
              <w:t xml:space="preserve">absolutní polohy koleje APK </w:t>
            </w:r>
            <w:r w:rsidRPr="0049013C">
              <w:rPr>
                <w:rFonts w:ascii="Calibri" w:hAnsi="Calibri"/>
                <w:sz w:val="22"/>
                <w:szCs w:val="22"/>
              </w:rPr>
              <w:t>se záznamem měřených dat metodou stop and go).</w:t>
            </w:r>
            <w:r w:rsidRPr="0049013C">
              <w:rPr>
                <w:rFonts w:ascii="Calibri" w:hAnsi="Calibri" w:cs="Courier New"/>
                <w:sz w:val="22"/>
                <w:szCs w:val="22"/>
              </w:rPr>
              <w:t xml:space="preserve"> </w:t>
            </w:r>
            <w:r w:rsidRPr="0049013C">
              <w:rPr>
                <w:rFonts w:ascii="Calibri" w:hAnsi="Calibri"/>
                <w:sz w:val="22"/>
                <w:szCs w:val="22"/>
              </w:rPr>
              <w:t>Hustota měření osy koleje byla v intervalu cca 10 m.</w:t>
            </w:r>
            <w:r w:rsidR="00AF141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F141B" w:rsidRPr="00AF141B">
              <w:rPr>
                <w:rFonts w:ascii="Calibri" w:hAnsi="Calibri"/>
                <w:sz w:val="22"/>
                <w:szCs w:val="22"/>
              </w:rPr>
              <w:t>Dále byly předmětem měření dopravně významné objekty (nástupiště, přechody, staničníky apod.)</w:t>
            </w:r>
          </w:p>
          <w:p w:rsidR="007457F2" w:rsidRPr="0049013C" w:rsidRDefault="007457F2" w:rsidP="00C7663D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9013C">
              <w:rPr>
                <w:rFonts w:ascii="Calibri" w:hAnsi="Calibri" w:cs="Courier New"/>
                <w:sz w:val="22"/>
                <w:szCs w:val="22"/>
              </w:rPr>
              <w:t>Stanoviska byla v</w:t>
            </w:r>
            <w:r w:rsidR="00AF141B">
              <w:rPr>
                <w:rFonts w:ascii="Calibri" w:hAnsi="Calibri" w:cs="Courier New"/>
                <w:sz w:val="22"/>
                <w:szCs w:val="22"/>
              </w:rPr>
              <w:t>ypočtena v programu WKokeš v. 14.51</w:t>
            </w:r>
            <w:r w:rsidRPr="0049013C">
              <w:rPr>
                <w:rFonts w:ascii="Calibri" w:hAnsi="Calibri" w:cs="Courier New"/>
                <w:sz w:val="22"/>
                <w:szCs w:val="22"/>
              </w:rPr>
              <w:t xml:space="preserve"> s nadstavbou Rail. Výpočet měřené osy koleje bylo provedeno v programu </w:t>
            </w:r>
            <w:r w:rsidRPr="0049013C">
              <w:rPr>
                <w:rFonts w:ascii="Calibri" w:hAnsi="Calibri" w:cs="Courier New"/>
                <w:b/>
                <w:sz w:val="22"/>
                <w:szCs w:val="22"/>
              </w:rPr>
              <w:t xml:space="preserve">Rail </w:t>
            </w:r>
            <w:r w:rsidR="00AF141B">
              <w:rPr>
                <w:rFonts w:ascii="Calibri" w:hAnsi="Calibri" w:cs="Courier New"/>
                <w:b/>
                <w:sz w:val="22"/>
                <w:szCs w:val="22"/>
              </w:rPr>
              <w:t>20.05</w:t>
            </w:r>
            <w:r w:rsidRPr="0049013C">
              <w:rPr>
                <w:rFonts w:ascii="Calibri" w:hAnsi="Calibri" w:cs="Courier New"/>
                <w:b/>
                <w:sz w:val="22"/>
                <w:szCs w:val="22"/>
              </w:rPr>
              <w:t>.2</w:t>
            </w:r>
            <w:r w:rsidRPr="0049013C"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. </w:t>
            </w:r>
            <w:r w:rsidRPr="0049013C">
              <w:rPr>
                <w:rFonts w:ascii="Calibri" w:hAnsi="Calibri"/>
                <w:sz w:val="22"/>
                <w:szCs w:val="22"/>
              </w:rPr>
              <w:t>Měření bylo prováděno v intervalu cca 10 m</w:t>
            </w:r>
            <w:r w:rsidR="009C0C18" w:rsidRPr="0049013C">
              <w:rPr>
                <w:rFonts w:ascii="Calibri" w:hAnsi="Calibri"/>
                <w:sz w:val="22"/>
                <w:szCs w:val="22"/>
              </w:rPr>
              <w:t>.</w:t>
            </w:r>
          </w:p>
          <w:p w:rsidR="008B7B3F" w:rsidRDefault="008B7B3F" w:rsidP="008B7B3F">
            <w:pPr>
              <w:spacing w:after="0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5711DF" w:rsidRPr="0049013C" w:rsidRDefault="005711DF" w:rsidP="008B7B3F">
            <w:pPr>
              <w:spacing w:after="0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lang w:eastAsia="cs-CZ"/>
              </w:rPr>
              <w:t xml:space="preserve">Adresářová struktura dokumentace </w:t>
            </w:r>
            <w:r w:rsidR="00186B46" w:rsidRPr="0049013C">
              <w:rPr>
                <w:rFonts w:asciiTheme="majorHAnsi" w:eastAsia="Times New Roman" w:hAnsiTheme="majorHAnsi" w:cs="Arial"/>
                <w:lang w:eastAsia="cs-CZ"/>
              </w:rPr>
              <w:t>technologického</w:t>
            </w:r>
            <w:r w:rsidRPr="0049013C">
              <w:rPr>
                <w:rFonts w:asciiTheme="majorHAnsi" w:eastAsia="Times New Roman" w:hAnsiTheme="majorHAnsi" w:cs="Arial"/>
                <w:lang w:eastAsia="cs-CZ"/>
              </w:rPr>
              <w:t xml:space="preserve"> měření PPK</w:t>
            </w:r>
            <w:r w:rsidR="00186B46" w:rsidRPr="0049013C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49013C">
              <w:rPr>
                <w:rFonts w:asciiTheme="majorHAnsi" w:eastAsia="Times New Roman" w:hAnsiTheme="majorHAnsi" w:cs="Arial"/>
                <w:lang w:eastAsia="cs-CZ"/>
              </w:rPr>
              <w:t xml:space="preserve"> je v souladu s předpisem SŽDC M20/MP004.</w:t>
            </w:r>
          </w:p>
        </w:tc>
      </w:tr>
      <w:tr w:rsidR="004E0BC8" w:rsidRPr="00D33C54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33C54" w:rsidRDefault="004E0BC8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highlight w:val="yellow"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33C54" w:rsidRDefault="004E0BC8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4E0BC8" w:rsidRPr="00D33C54" w:rsidTr="00DC4D2E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49013C" w:rsidRDefault="004E0BC8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49013C" w:rsidRDefault="004E0BC8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9013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příloh:</w:t>
            </w:r>
          </w:p>
          <w:p w:rsidR="001D0BE5" w:rsidRPr="0049013C" w:rsidRDefault="001D0BE5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D0BE5" w:rsidRPr="0049013C" w:rsidRDefault="001D0BE5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D0BE5" w:rsidRPr="0049013C" w:rsidRDefault="001D0BE5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D0BE5" w:rsidRPr="0049013C" w:rsidRDefault="001D0BE5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D0BE5" w:rsidRPr="0049013C" w:rsidRDefault="001D0BE5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D0BE5" w:rsidRPr="0049013C" w:rsidRDefault="001D0BE5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D0BE5" w:rsidRPr="0049013C" w:rsidRDefault="001D0BE5" w:rsidP="009E016B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9013C" w:rsidRDefault="004E0BC8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</w:p>
          <w:p w:rsidR="007B3E8D" w:rsidRPr="0049013C" w:rsidRDefault="004E0BC8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  <w:r w:rsidRPr="0049013C">
              <w:rPr>
                <w:rFonts w:asciiTheme="majorHAnsi" w:hAnsiTheme="majorHAnsi" w:cs="Arial"/>
                <w:b/>
                <w:lang w:eastAsia="cs-CZ"/>
              </w:rPr>
              <w:t>Technická zpráva</w:t>
            </w:r>
            <w:r w:rsidRPr="0049013C">
              <w:rPr>
                <w:rFonts w:asciiTheme="majorHAnsi" w:hAnsiTheme="majorHAnsi" w:cs="Arial"/>
                <w:lang w:eastAsia="cs-CZ"/>
              </w:rPr>
              <w:t xml:space="preserve"> </w:t>
            </w:r>
            <w:r w:rsidR="007B3E8D" w:rsidRPr="0049013C">
              <w:rPr>
                <w:rFonts w:asciiTheme="majorHAnsi" w:hAnsiTheme="majorHAnsi" w:cs="Arial"/>
                <w:lang w:eastAsia="cs-CZ"/>
              </w:rPr>
              <w:t xml:space="preserve">(elektronicky, </w:t>
            </w:r>
            <w:r w:rsidR="005711DF" w:rsidRPr="0049013C">
              <w:rPr>
                <w:rFonts w:asciiTheme="majorHAnsi" w:hAnsiTheme="majorHAnsi" w:cs="Arial"/>
                <w:lang w:eastAsia="cs-CZ"/>
              </w:rPr>
              <w:t>tištěná</w:t>
            </w:r>
            <w:r w:rsidR="007B3E8D" w:rsidRPr="0049013C">
              <w:rPr>
                <w:rFonts w:asciiTheme="majorHAnsi" w:hAnsiTheme="majorHAnsi" w:cs="Arial"/>
                <w:lang w:eastAsia="cs-CZ"/>
              </w:rPr>
              <w:t>)</w:t>
            </w:r>
          </w:p>
          <w:p w:rsidR="004E0BC8" w:rsidRDefault="007457F2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  <w:r w:rsidRPr="0049013C">
              <w:rPr>
                <w:rFonts w:asciiTheme="majorHAnsi" w:hAnsiTheme="majorHAnsi" w:cs="Arial"/>
                <w:lang w:eastAsia="cs-CZ"/>
              </w:rPr>
              <w:t>Seznam podrobných bodů</w:t>
            </w:r>
            <w:r w:rsidR="008D6708" w:rsidRPr="0049013C">
              <w:rPr>
                <w:rFonts w:asciiTheme="majorHAnsi" w:hAnsiTheme="majorHAnsi" w:cs="Arial"/>
                <w:lang w:eastAsia="cs-CZ"/>
              </w:rPr>
              <w:t xml:space="preserve"> (elektronicky</w:t>
            </w:r>
            <w:r w:rsidR="007B3E8D" w:rsidRPr="0049013C">
              <w:rPr>
                <w:rFonts w:asciiTheme="majorHAnsi" w:hAnsiTheme="majorHAnsi" w:cs="Arial"/>
                <w:lang w:eastAsia="cs-CZ"/>
              </w:rPr>
              <w:t>)</w:t>
            </w:r>
          </w:p>
          <w:p w:rsidR="008B7B3F" w:rsidRPr="0049013C" w:rsidRDefault="008B7B3F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  <w:r w:rsidRPr="00C42FDE">
              <w:rPr>
                <w:rFonts w:ascii="Calibri" w:hAnsi="Calibri" w:cs="Courier New"/>
                <w:sz w:val="22"/>
                <w:szCs w:val="22"/>
              </w:rPr>
              <w:t xml:space="preserve">Výkres situace </w:t>
            </w:r>
            <w:r>
              <w:rPr>
                <w:rFonts w:ascii="Calibri" w:hAnsi="Calibri" w:cs="Courier New"/>
                <w:b/>
                <w:sz w:val="22"/>
                <w:szCs w:val="22"/>
              </w:rPr>
              <w:t>žst. Přerov přednádraží</w:t>
            </w:r>
            <w:r w:rsidRPr="00C42FDE">
              <w:rPr>
                <w:rFonts w:ascii="Calibri" w:hAnsi="Calibri" w:cs="Courier New"/>
                <w:sz w:val="22"/>
                <w:szCs w:val="22"/>
              </w:rPr>
              <w:t xml:space="preserve"> </w:t>
            </w:r>
            <w:r w:rsidRPr="00C42FDE">
              <w:rPr>
                <w:rFonts w:ascii="Calibri" w:hAnsi="Calibri" w:cs="Courier New"/>
                <w:sz w:val="22"/>
                <w:szCs w:val="22"/>
                <w:lang w:val="en-US"/>
              </w:rPr>
              <w:t>[B. 6]</w:t>
            </w:r>
            <w:r>
              <w:rPr>
                <w:rFonts w:ascii="Calibri" w:hAnsi="Calibri" w:cs="Courier New"/>
                <w:sz w:val="22"/>
                <w:szCs w:val="22"/>
              </w:rPr>
              <w:t xml:space="preserve"> - elektronicky</w:t>
            </w:r>
          </w:p>
          <w:p w:rsidR="001D0BE5" w:rsidRPr="0049013C" w:rsidRDefault="001D0BE5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</w:p>
          <w:p w:rsidR="00634463" w:rsidRPr="0049013C" w:rsidRDefault="00634463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</w:p>
          <w:p w:rsidR="001D0BE5" w:rsidRPr="0049013C" w:rsidRDefault="001D0BE5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</w:p>
          <w:p w:rsidR="005D1865" w:rsidRPr="0049013C" w:rsidRDefault="005D1865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</w:p>
          <w:p w:rsidR="001D0BE5" w:rsidRPr="0049013C" w:rsidRDefault="001D0BE5" w:rsidP="00051F51">
            <w:pPr>
              <w:pStyle w:val="Bezmezer"/>
              <w:jc w:val="center"/>
              <w:rPr>
                <w:rFonts w:asciiTheme="majorHAnsi" w:hAnsiTheme="majorHAnsi" w:cs="Arial"/>
                <w:i/>
                <w:lang w:eastAsia="cs-CZ"/>
              </w:rPr>
            </w:pPr>
            <w:r w:rsidRPr="0049013C">
              <w:rPr>
                <w:rFonts w:asciiTheme="majorHAnsi" w:hAnsiTheme="majorHAnsi" w:cs="Arial"/>
                <w:i/>
                <w:lang w:eastAsia="cs-CZ"/>
              </w:rPr>
              <w:t>Výsledky odpovídají svými náležitostmi a přesností právním předpisům a předpisům Správy železnic, státní organizace.</w:t>
            </w:r>
          </w:p>
          <w:p w:rsidR="001D0BE5" w:rsidRPr="0049013C" w:rsidRDefault="001D0BE5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</w:p>
          <w:p w:rsidR="004E0BC8" w:rsidRPr="0049013C" w:rsidRDefault="004E0BC8" w:rsidP="009E016B">
            <w:pPr>
              <w:pStyle w:val="Bezmezer"/>
              <w:jc w:val="both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051F51" w:rsidRPr="00D33C54" w:rsidRDefault="00051F51" w:rsidP="00644CFA">
      <w:pPr>
        <w:spacing w:after="0" w:line="276" w:lineRule="auto"/>
        <w:rPr>
          <w:rStyle w:val="VrazncittChar"/>
          <w:highlight w:val="yellow"/>
        </w:rPr>
      </w:pPr>
    </w:p>
    <w:p w:rsidR="005D1865" w:rsidRPr="00D33C54" w:rsidRDefault="005D1865" w:rsidP="00644CFA">
      <w:pPr>
        <w:spacing w:after="0" w:line="276" w:lineRule="auto"/>
        <w:rPr>
          <w:rStyle w:val="VrazncittChar"/>
          <w:highlight w:val="yellow"/>
        </w:rPr>
      </w:pPr>
    </w:p>
    <w:p w:rsidR="005D1865" w:rsidRPr="00D33C54" w:rsidRDefault="005D1865" w:rsidP="00644CFA">
      <w:pPr>
        <w:spacing w:after="0" w:line="276" w:lineRule="auto"/>
        <w:rPr>
          <w:rStyle w:val="VrazncittChar"/>
          <w:highlight w:val="yellow"/>
        </w:rPr>
      </w:pPr>
    </w:p>
    <w:p w:rsidR="00DC4D2E" w:rsidRPr="0049013C" w:rsidRDefault="001D0BE5" w:rsidP="00644CFA">
      <w:pPr>
        <w:spacing w:after="0" w:line="276" w:lineRule="auto"/>
        <w:rPr>
          <w:rStyle w:val="VrazncittChar"/>
        </w:rPr>
      </w:pPr>
      <w:r w:rsidRPr="0049013C">
        <w:rPr>
          <w:rStyle w:val="VrazncittChar"/>
        </w:rPr>
        <w:t>Ověřil:</w:t>
      </w:r>
      <w:r w:rsidRPr="0049013C">
        <w:rPr>
          <w:rStyle w:val="VrazncittChar"/>
        </w:rPr>
        <w:tab/>
        <w:t xml:space="preserve"> Ing. Petr Malý</w:t>
      </w:r>
    </w:p>
    <w:p w:rsidR="001D0BE5" w:rsidRPr="0049013C" w:rsidRDefault="001D0BE5" w:rsidP="001D0BE5">
      <w:pPr>
        <w:spacing w:after="0" w:line="276" w:lineRule="auto"/>
        <w:rPr>
          <w:rStyle w:val="VrazncittChar"/>
          <w:b w:val="0"/>
        </w:rPr>
      </w:pPr>
      <w:r w:rsidRPr="0049013C">
        <w:rPr>
          <w:rStyle w:val="VrazncittChar"/>
          <w:b w:val="0"/>
        </w:rPr>
        <w:t>Oprávněn ověřovat výsledky zeměměřických činností dle § 13 odst. 1 písmena c) zákona č. 200/1994 Sb</w:t>
      </w:r>
    </w:p>
    <w:p w:rsidR="001D0BE5" w:rsidRPr="0049013C" w:rsidRDefault="001D0BE5" w:rsidP="001D0BE5">
      <w:pPr>
        <w:spacing w:after="0" w:line="276" w:lineRule="auto"/>
        <w:rPr>
          <w:rStyle w:val="VrazncittChar"/>
          <w:b w:val="0"/>
        </w:rPr>
      </w:pPr>
      <w:r w:rsidRPr="0049013C">
        <w:rPr>
          <w:rStyle w:val="VrazncittChar"/>
          <w:b w:val="0"/>
        </w:rPr>
        <w:t xml:space="preserve">Evidenční číslo ověření: </w:t>
      </w:r>
      <w:r w:rsidR="008B7B3F">
        <w:rPr>
          <w:rStyle w:val="VrazncittChar"/>
        </w:rPr>
        <w:t>49</w:t>
      </w:r>
      <w:r w:rsidR="00883125" w:rsidRPr="0049013C">
        <w:rPr>
          <w:rStyle w:val="VrazncittChar"/>
        </w:rPr>
        <w:t>/2020</w:t>
      </w:r>
    </w:p>
    <w:p w:rsidR="001D0BE5" w:rsidRPr="001D0BE5" w:rsidRDefault="001D0BE5" w:rsidP="001D0BE5">
      <w:pPr>
        <w:spacing w:after="0" w:line="276" w:lineRule="auto"/>
        <w:rPr>
          <w:rStyle w:val="VrazncittChar"/>
          <w:b w:val="0"/>
        </w:rPr>
      </w:pPr>
      <w:r w:rsidRPr="0049013C">
        <w:rPr>
          <w:rStyle w:val="VrazncittChar"/>
          <w:b w:val="0"/>
        </w:rPr>
        <w:t xml:space="preserve">V Olomouci dne: </w:t>
      </w:r>
      <w:r w:rsidR="008B7B3F">
        <w:rPr>
          <w:rStyle w:val="VrazncittChar"/>
        </w:rPr>
        <w:t>1.12</w:t>
      </w:r>
      <w:r w:rsidRPr="0049013C">
        <w:rPr>
          <w:rStyle w:val="VrazncittChar"/>
        </w:rPr>
        <w:t>.2020</w:t>
      </w:r>
    </w:p>
    <w:sectPr w:rsidR="001D0BE5" w:rsidRPr="001D0BE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312" w:rsidRDefault="00925312" w:rsidP="00962258">
      <w:pPr>
        <w:spacing w:after="0" w:line="240" w:lineRule="auto"/>
      </w:pPr>
      <w:r>
        <w:separator/>
      </w:r>
    </w:p>
  </w:endnote>
  <w:endnote w:type="continuationSeparator" w:id="0">
    <w:p w:rsidR="00925312" w:rsidRDefault="009253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03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03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03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03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60288" behindDoc="0" locked="1" layoutInCell="0" allowOverlap="1" wp14:anchorId="2EBFDF91" wp14:editId="11F09040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312" w:rsidRDefault="00925312" w:rsidP="00962258">
      <w:pPr>
        <w:spacing w:after="0" w:line="240" w:lineRule="auto"/>
      </w:pPr>
      <w:r>
        <w:separator/>
      </w:r>
    </w:p>
  </w:footnote>
  <w:footnote w:type="continuationSeparator" w:id="0">
    <w:p w:rsidR="00925312" w:rsidRDefault="009253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9072A2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070A2"/>
    <w:rsid w:val="00011CE6"/>
    <w:rsid w:val="00033432"/>
    <w:rsid w:val="000335CC"/>
    <w:rsid w:val="00035F41"/>
    <w:rsid w:val="000409A2"/>
    <w:rsid w:val="00051500"/>
    <w:rsid w:val="00051F51"/>
    <w:rsid w:val="00072C1E"/>
    <w:rsid w:val="0009693E"/>
    <w:rsid w:val="000B6CA2"/>
    <w:rsid w:val="000B7907"/>
    <w:rsid w:val="000C0429"/>
    <w:rsid w:val="000E1D1B"/>
    <w:rsid w:val="001065C0"/>
    <w:rsid w:val="001121C1"/>
    <w:rsid w:val="00114472"/>
    <w:rsid w:val="001275A3"/>
    <w:rsid w:val="00144111"/>
    <w:rsid w:val="001651E3"/>
    <w:rsid w:val="00170EC5"/>
    <w:rsid w:val="00172AA0"/>
    <w:rsid w:val="001747C1"/>
    <w:rsid w:val="001804DE"/>
    <w:rsid w:val="0018596A"/>
    <w:rsid w:val="00186B46"/>
    <w:rsid w:val="001878DB"/>
    <w:rsid w:val="001C4DA0"/>
    <w:rsid w:val="001D0BE5"/>
    <w:rsid w:val="001F08B3"/>
    <w:rsid w:val="001F43D2"/>
    <w:rsid w:val="00204D17"/>
    <w:rsid w:val="00207DF5"/>
    <w:rsid w:val="00220F04"/>
    <w:rsid w:val="002401A1"/>
    <w:rsid w:val="002402E8"/>
    <w:rsid w:val="002450E2"/>
    <w:rsid w:val="0026785D"/>
    <w:rsid w:val="00271C2D"/>
    <w:rsid w:val="0027250A"/>
    <w:rsid w:val="002A23DE"/>
    <w:rsid w:val="002B2965"/>
    <w:rsid w:val="002C31BF"/>
    <w:rsid w:val="002D3A1B"/>
    <w:rsid w:val="002E0CD7"/>
    <w:rsid w:val="002F026B"/>
    <w:rsid w:val="00316FD3"/>
    <w:rsid w:val="0032148B"/>
    <w:rsid w:val="00351EAA"/>
    <w:rsid w:val="00357BC6"/>
    <w:rsid w:val="0036003F"/>
    <w:rsid w:val="0037179F"/>
    <w:rsid w:val="003956C6"/>
    <w:rsid w:val="003A2D45"/>
    <w:rsid w:val="003D29BE"/>
    <w:rsid w:val="003D750E"/>
    <w:rsid w:val="003E75CE"/>
    <w:rsid w:val="003F6A74"/>
    <w:rsid w:val="0041380F"/>
    <w:rsid w:val="0042191F"/>
    <w:rsid w:val="0045078D"/>
    <w:rsid w:val="00450F07"/>
    <w:rsid w:val="00453CD3"/>
    <w:rsid w:val="00455BC7"/>
    <w:rsid w:val="00460660"/>
    <w:rsid w:val="00460CCB"/>
    <w:rsid w:val="00477370"/>
    <w:rsid w:val="0048601F"/>
    <w:rsid w:val="00486107"/>
    <w:rsid w:val="0049013C"/>
    <w:rsid w:val="00491827"/>
    <w:rsid w:val="004926B0"/>
    <w:rsid w:val="004A7C69"/>
    <w:rsid w:val="004B7325"/>
    <w:rsid w:val="004C4399"/>
    <w:rsid w:val="004C69ED"/>
    <w:rsid w:val="004C787C"/>
    <w:rsid w:val="004E0BC8"/>
    <w:rsid w:val="004F4B9B"/>
    <w:rsid w:val="00506F1C"/>
    <w:rsid w:val="00511AB9"/>
    <w:rsid w:val="00514692"/>
    <w:rsid w:val="00523EA7"/>
    <w:rsid w:val="00532CF1"/>
    <w:rsid w:val="00551D1F"/>
    <w:rsid w:val="00553375"/>
    <w:rsid w:val="00563645"/>
    <w:rsid w:val="005658A6"/>
    <w:rsid w:val="005711DF"/>
    <w:rsid w:val="005722BB"/>
    <w:rsid w:val="005736B7"/>
    <w:rsid w:val="00573A76"/>
    <w:rsid w:val="00574482"/>
    <w:rsid w:val="0057520E"/>
    <w:rsid w:val="00575E5A"/>
    <w:rsid w:val="00596C7E"/>
    <w:rsid w:val="005A2C91"/>
    <w:rsid w:val="005A64E9"/>
    <w:rsid w:val="005B5EE9"/>
    <w:rsid w:val="005C3BF2"/>
    <w:rsid w:val="005D0319"/>
    <w:rsid w:val="005D1865"/>
    <w:rsid w:val="005F0CAE"/>
    <w:rsid w:val="005F6058"/>
    <w:rsid w:val="0061068E"/>
    <w:rsid w:val="0061539C"/>
    <w:rsid w:val="00634463"/>
    <w:rsid w:val="00644CFA"/>
    <w:rsid w:val="00660A21"/>
    <w:rsid w:val="00660AD3"/>
    <w:rsid w:val="006655F6"/>
    <w:rsid w:val="0068109A"/>
    <w:rsid w:val="00681FAC"/>
    <w:rsid w:val="006A1C36"/>
    <w:rsid w:val="006A5570"/>
    <w:rsid w:val="006A689C"/>
    <w:rsid w:val="006B3D79"/>
    <w:rsid w:val="006B5A14"/>
    <w:rsid w:val="006D6FE4"/>
    <w:rsid w:val="006E0578"/>
    <w:rsid w:val="006E314D"/>
    <w:rsid w:val="00707052"/>
    <w:rsid w:val="00710723"/>
    <w:rsid w:val="00721882"/>
    <w:rsid w:val="007220DE"/>
    <w:rsid w:val="00723ED1"/>
    <w:rsid w:val="00725E18"/>
    <w:rsid w:val="00730455"/>
    <w:rsid w:val="00734EC7"/>
    <w:rsid w:val="00743525"/>
    <w:rsid w:val="007457F2"/>
    <w:rsid w:val="00754E1D"/>
    <w:rsid w:val="00762391"/>
    <w:rsid w:val="0076286B"/>
    <w:rsid w:val="00764595"/>
    <w:rsid w:val="00766846"/>
    <w:rsid w:val="0077673A"/>
    <w:rsid w:val="0078419A"/>
    <w:rsid w:val="007846E1"/>
    <w:rsid w:val="00791366"/>
    <w:rsid w:val="007A6BDB"/>
    <w:rsid w:val="007B3E8D"/>
    <w:rsid w:val="007B415E"/>
    <w:rsid w:val="007B570C"/>
    <w:rsid w:val="007D3606"/>
    <w:rsid w:val="007E4A6E"/>
    <w:rsid w:val="007F56A7"/>
    <w:rsid w:val="00801330"/>
    <w:rsid w:val="00807DD0"/>
    <w:rsid w:val="00813F11"/>
    <w:rsid w:val="008257C6"/>
    <w:rsid w:val="00827834"/>
    <w:rsid w:val="00883125"/>
    <w:rsid w:val="00896760"/>
    <w:rsid w:val="008A3568"/>
    <w:rsid w:val="008B2459"/>
    <w:rsid w:val="008B7B3F"/>
    <w:rsid w:val="008C5433"/>
    <w:rsid w:val="008D03B9"/>
    <w:rsid w:val="008D6708"/>
    <w:rsid w:val="008E0804"/>
    <w:rsid w:val="008E236D"/>
    <w:rsid w:val="008E38D0"/>
    <w:rsid w:val="008F18D6"/>
    <w:rsid w:val="00903583"/>
    <w:rsid w:val="00904780"/>
    <w:rsid w:val="009059F3"/>
    <w:rsid w:val="009072A2"/>
    <w:rsid w:val="009113A8"/>
    <w:rsid w:val="0091551D"/>
    <w:rsid w:val="00922385"/>
    <w:rsid w:val="009223DF"/>
    <w:rsid w:val="00925312"/>
    <w:rsid w:val="00936091"/>
    <w:rsid w:val="00936B42"/>
    <w:rsid w:val="00940D8A"/>
    <w:rsid w:val="009547FE"/>
    <w:rsid w:val="00962258"/>
    <w:rsid w:val="009678B7"/>
    <w:rsid w:val="009721D4"/>
    <w:rsid w:val="00982411"/>
    <w:rsid w:val="00983613"/>
    <w:rsid w:val="00992D9C"/>
    <w:rsid w:val="00996CB8"/>
    <w:rsid w:val="009A7568"/>
    <w:rsid w:val="009B2E97"/>
    <w:rsid w:val="009B72CC"/>
    <w:rsid w:val="009C0C18"/>
    <w:rsid w:val="009E016B"/>
    <w:rsid w:val="009E07F4"/>
    <w:rsid w:val="009F2357"/>
    <w:rsid w:val="009F392E"/>
    <w:rsid w:val="00A01D8A"/>
    <w:rsid w:val="00A232E2"/>
    <w:rsid w:val="00A36BE7"/>
    <w:rsid w:val="00A44328"/>
    <w:rsid w:val="00A46781"/>
    <w:rsid w:val="00A6177B"/>
    <w:rsid w:val="00A66136"/>
    <w:rsid w:val="00A91A1D"/>
    <w:rsid w:val="00A91B00"/>
    <w:rsid w:val="00A97F4C"/>
    <w:rsid w:val="00AA2624"/>
    <w:rsid w:val="00AA4CBB"/>
    <w:rsid w:val="00AA65FA"/>
    <w:rsid w:val="00AA7351"/>
    <w:rsid w:val="00AB415C"/>
    <w:rsid w:val="00AD056F"/>
    <w:rsid w:val="00AD6731"/>
    <w:rsid w:val="00AE0BAE"/>
    <w:rsid w:val="00AF141B"/>
    <w:rsid w:val="00AF1BBE"/>
    <w:rsid w:val="00AF677D"/>
    <w:rsid w:val="00B077A4"/>
    <w:rsid w:val="00B15D0D"/>
    <w:rsid w:val="00B34F0B"/>
    <w:rsid w:val="00B4298F"/>
    <w:rsid w:val="00B45E34"/>
    <w:rsid w:val="00B45E9E"/>
    <w:rsid w:val="00B55F9C"/>
    <w:rsid w:val="00B75EE1"/>
    <w:rsid w:val="00B77481"/>
    <w:rsid w:val="00B8518B"/>
    <w:rsid w:val="00BB2267"/>
    <w:rsid w:val="00BB3740"/>
    <w:rsid w:val="00BB6C57"/>
    <w:rsid w:val="00BC36C4"/>
    <w:rsid w:val="00BC40E1"/>
    <w:rsid w:val="00BD7E91"/>
    <w:rsid w:val="00BF1B88"/>
    <w:rsid w:val="00BF374D"/>
    <w:rsid w:val="00BF44BE"/>
    <w:rsid w:val="00C02D0A"/>
    <w:rsid w:val="00C03A6E"/>
    <w:rsid w:val="00C2735E"/>
    <w:rsid w:val="00C30759"/>
    <w:rsid w:val="00C44F6A"/>
    <w:rsid w:val="00C527E4"/>
    <w:rsid w:val="00C53900"/>
    <w:rsid w:val="00C76361"/>
    <w:rsid w:val="00C7663D"/>
    <w:rsid w:val="00C8207D"/>
    <w:rsid w:val="00C873F2"/>
    <w:rsid w:val="00CA1498"/>
    <w:rsid w:val="00CD1FC4"/>
    <w:rsid w:val="00CD4FEE"/>
    <w:rsid w:val="00CE3013"/>
    <w:rsid w:val="00CE371D"/>
    <w:rsid w:val="00CE3D06"/>
    <w:rsid w:val="00CF4153"/>
    <w:rsid w:val="00D01A29"/>
    <w:rsid w:val="00D02A4D"/>
    <w:rsid w:val="00D10E2E"/>
    <w:rsid w:val="00D12641"/>
    <w:rsid w:val="00D16831"/>
    <w:rsid w:val="00D21061"/>
    <w:rsid w:val="00D2201D"/>
    <w:rsid w:val="00D26C6F"/>
    <w:rsid w:val="00D316A7"/>
    <w:rsid w:val="00D33C54"/>
    <w:rsid w:val="00D4108E"/>
    <w:rsid w:val="00D415FF"/>
    <w:rsid w:val="00D47CBD"/>
    <w:rsid w:val="00D5646A"/>
    <w:rsid w:val="00D6163D"/>
    <w:rsid w:val="00D6664C"/>
    <w:rsid w:val="00D831A3"/>
    <w:rsid w:val="00DA6FFE"/>
    <w:rsid w:val="00DC3110"/>
    <w:rsid w:val="00DC4D2E"/>
    <w:rsid w:val="00DD46F3"/>
    <w:rsid w:val="00DD58A6"/>
    <w:rsid w:val="00DE56F2"/>
    <w:rsid w:val="00DF116D"/>
    <w:rsid w:val="00E20CAD"/>
    <w:rsid w:val="00E2243C"/>
    <w:rsid w:val="00E80FD1"/>
    <w:rsid w:val="00E824F1"/>
    <w:rsid w:val="00E8440A"/>
    <w:rsid w:val="00EA3536"/>
    <w:rsid w:val="00EB104F"/>
    <w:rsid w:val="00EB62D8"/>
    <w:rsid w:val="00EC795B"/>
    <w:rsid w:val="00ED14BD"/>
    <w:rsid w:val="00F01440"/>
    <w:rsid w:val="00F12DEC"/>
    <w:rsid w:val="00F1715C"/>
    <w:rsid w:val="00F200D4"/>
    <w:rsid w:val="00F310F8"/>
    <w:rsid w:val="00F3378D"/>
    <w:rsid w:val="00F35939"/>
    <w:rsid w:val="00F45607"/>
    <w:rsid w:val="00F64786"/>
    <w:rsid w:val="00F659EB"/>
    <w:rsid w:val="00F7523B"/>
    <w:rsid w:val="00F85F50"/>
    <w:rsid w:val="00F862D6"/>
    <w:rsid w:val="00F86BA6"/>
    <w:rsid w:val="00FC5C30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14D111"/>
  <w14:defaultImageDpi w14:val="32767"/>
  <w15:docId w15:val="{1E7F8FBA-956D-43E9-8AAA-2B5BBAC3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purl.org/dc/terms/"/>
    <ds:schemaRef ds:uri="http://schemas.microsoft.com/office/2006/metadata/properti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602ADC-B686-4B1F-8F51-8F762E21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4731</TotalTime>
  <Pages>2</Pages>
  <Words>351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Malý Petr, Ing.</cp:lastModifiedBy>
  <cp:revision>129</cp:revision>
  <cp:lastPrinted>2020-09-10T07:48:00Z</cp:lastPrinted>
  <dcterms:created xsi:type="dcterms:W3CDTF">2020-02-03T09:13:00Z</dcterms:created>
  <dcterms:modified xsi:type="dcterms:W3CDTF">2020-12-01T09:20:00Z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